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bc23e8fceeef3d7054c1d7e5387a7e14b8ee6"/>
    <w:p>
      <w:pPr>
        <w:pStyle w:val="Heading3"/>
      </w:pPr>
      <w:r>
        <w:t xml:space="preserve">О внесении изменений в комиссию по конфликтам интересов от 17.10.2016 № 81-к.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в комиссию по конфликтам интересов от 17.10.2016 № 81-к.pdf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http://pokrov-streshnevo.mos.ru/anti-corruption/the-commission-for-observance-of-requirements-for-the-official-behaviour-of-state-civil-employees-of/detail/6564086.html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1f/o-vnesenii-izmeneniy-v-komissiyu-po-konfliktam-interesov-ot-17.10.2016-_-81_k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the-commission-for-observance-of-requirements-for-the-official-behaviour-of-state-civil-employees-of/detail/6564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1f/o-vnesenii-izmeneniy-v-komissiyu-po-konfliktam-interesov-ot-17.10.2016-_-81_k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the-commission-for-observance-of-requirements-for-the-official-behaviour-of-state-civil-employees-of/detail/6564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2025-07-14T10:35:51Z</dcterms:created>
  <dcterms:modified xsi:type="dcterms:W3CDTF">2025-07-14T10:35:51Z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