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688ecc67001e999340987b32d168b96042c48"/>
    <w:p>
      <w:pPr>
        <w:pStyle w:val="Heading3"/>
      </w:pPr>
      <w:r>
        <w:t xml:space="preserve">Противодействие коррупции в спорте. Памятка</w:t>
      </w:r>
    </w:p>
    <w:p>
      <w:pPr>
        <w:pStyle w:val="FirstParagraph"/>
      </w:pPr>
      <w:r>
        <w:t xml:space="preserve">17.01.2019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protivodeystvie_korruptsii_v_sporte._pamyatka..pdf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http://pokrov-streshnevo.mos.ru/anti-corruption/methodical-materials/detail/7825102.html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7825102.html" TargetMode="External" /><Relationship Type="http://schemas.openxmlformats.org/officeDocument/2006/relationships/hyperlink" Id="rId20" Target="https://yaroslavsky.mos.ru/upload_local/iblock/b2f/b2ff0c561c400587f99b3f9834710876/protivodeystvie_korruptsii_v_sporte._pamyatka.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7825102.html" TargetMode="External" /><Relationship Type="http://schemas.openxmlformats.org/officeDocument/2006/relationships/hyperlink" Id="rId20" Target="https://yaroslavsky.mos.ru/upload_local/iblock/b2f/b2ff0c561c400587f99b3f9834710876/protivodeystvie_korruptsii_v_sporte._pamyatka.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2024-07-04T19:40:48Z</dcterms:created>
  <dcterms:modified xsi:type="dcterms:W3CDTF">2024-07-04T19:40:48Z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